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1DB" w:rsidRDefault="00B331DB" w:rsidP="00D66D0B">
      <w:pPr>
        <w:spacing w:line="360" w:lineRule="auto"/>
        <w:jc w:val="both"/>
        <w:rPr>
          <w:rFonts w:ascii="Arial" w:eastAsia="Calibri" w:hAnsi="Arial" w:cs="Arial"/>
          <w:sz w:val="24"/>
          <w:szCs w:val="22"/>
          <w:lang w:eastAsia="en-US"/>
        </w:rPr>
      </w:pPr>
      <w:r>
        <w:rPr>
          <w:rFonts w:ascii="Arial" w:eastAsia="Calibri" w:hAnsi="Arial" w:cs="Arial"/>
          <w:sz w:val="24"/>
          <w:szCs w:val="22"/>
          <w:lang w:eastAsia="en-US"/>
        </w:rPr>
        <w:t>Dr. Thomas Gerhards</w:t>
      </w:r>
      <w:r w:rsidR="009D0FE7">
        <w:rPr>
          <w:rFonts w:ascii="Arial" w:eastAsia="Calibri" w:hAnsi="Arial" w:cs="Arial"/>
          <w:sz w:val="24"/>
          <w:szCs w:val="22"/>
          <w:lang w:eastAsia="en-US"/>
        </w:rPr>
        <w:t>, Düsseldorf</w:t>
      </w:r>
    </w:p>
    <w:p w:rsidR="00AE23D4" w:rsidRPr="00AE23D4" w:rsidRDefault="009730D4" w:rsidP="00AE23D4">
      <w:pPr>
        <w:spacing w:line="360" w:lineRule="auto"/>
        <w:jc w:val="both"/>
        <w:rPr>
          <w:rFonts w:ascii="Arial" w:eastAsia="Calibri" w:hAnsi="Arial" w:cs="Arial"/>
          <w:sz w:val="24"/>
          <w:szCs w:val="22"/>
          <w:lang w:eastAsia="en-US"/>
        </w:rPr>
      </w:pPr>
      <w:r w:rsidRPr="009730D4">
        <w:rPr>
          <w:rFonts w:ascii="Arial" w:eastAsia="Calibri" w:hAnsi="Arial" w:cs="Arial"/>
          <w:sz w:val="24"/>
          <w:szCs w:val="22"/>
          <w:lang w:eastAsia="en-US"/>
        </w:rPr>
        <w:t xml:space="preserve">Publikationsliste (Stand: </w:t>
      </w:r>
      <w:r w:rsidR="0071262D">
        <w:rPr>
          <w:rFonts w:ascii="Arial" w:eastAsia="Calibri" w:hAnsi="Arial" w:cs="Arial"/>
          <w:sz w:val="24"/>
          <w:szCs w:val="22"/>
          <w:lang w:eastAsia="en-US"/>
        </w:rPr>
        <w:t>September</w:t>
      </w:r>
      <w:r w:rsidR="00A30B37">
        <w:rPr>
          <w:rFonts w:ascii="Arial" w:eastAsia="Calibri" w:hAnsi="Arial" w:cs="Arial"/>
          <w:sz w:val="24"/>
          <w:szCs w:val="22"/>
          <w:lang w:eastAsia="en-US"/>
        </w:rPr>
        <w:t xml:space="preserve"> 202</w:t>
      </w:r>
      <w:r w:rsidR="00F87B17">
        <w:rPr>
          <w:rFonts w:ascii="Arial" w:eastAsia="Calibri" w:hAnsi="Arial" w:cs="Arial"/>
          <w:sz w:val="24"/>
          <w:szCs w:val="22"/>
          <w:lang w:eastAsia="en-US"/>
        </w:rPr>
        <w:t>2</w:t>
      </w:r>
      <w:r w:rsidRPr="009730D4">
        <w:rPr>
          <w:rFonts w:ascii="Arial" w:eastAsia="Calibri" w:hAnsi="Arial" w:cs="Arial"/>
          <w:sz w:val="24"/>
          <w:szCs w:val="22"/>
          <w:lang w:eastAsia="en-US"/>
        </w:rPr>
        <w:t>)</w:t>
      </w:r>
    </w:p>
    <w:p w:rsidR="001F3011" w:rsidRPr="001F3011" w:rsidRDefault="001F3011" w:rsidP="001F3011">
      <w:pPr>
        <w:spacing w:line="360" w:lineRule="auto"/>
        <w:jc w:val="both"/>
        <w:rPr>
          <w:rFonts w:ascii="Arial" w:eastAsia="Calibri" w:hAnsi="Arial" w:cs="Arial"/>
          <w:i/>
          <w:sz w:val="24"/>
          <w:szCs w:val="22"/>
          <w:lang w:eastAsia="en-US"/>
        </w:rPr>
      </w:pPr>
    </w:p>
    <w:p w:rsidR="00F87B17" w:rsidRPr="00F87B17" w:rsidRDefault="00F87B17" w:rsidP="00F87B17">
      <w:pPr>
        <w:spacing w:line="360" w:lineRule="auto"/>
        <w:jc w:val="both"/>
        <w:rPr>
          <w:rFonts w:ascii="Arial" w:eastAsia="Calibri" w:hAnsi="Arial" w:cs="Arial"/>
          <w:i/>
          <w:sz w:val="24"/>
          <w:szCs w:val="22"/>
          <w:lang w:eastAsia="en-US"/>
        </w:rPr>
      </w:pPr>
      <w:r w:rsidRPr="00F87B17">
        <w:rPr>
          <w:rFonts w:ascii="Arial" w:eastAsia="Calibri" w:hAnsi="Arial" w:cs="Arial"/>
          <w:i/>
          <w:sz w:val="24"/>
          <w:szCs w:val="22"/>
          <w:lang w:eastAsia="en-US"/>
        </w:rPr>
        <w:t>I) Monographien</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Heinrich von Treitschke. Wirkung und Wahrnehmung eines Historikers im 19. und 20. Jahrhundert, Paderborn 2013</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 xml:space="preserve">Staat, Nation und Moderne. Europäische Geschichte 1870-1920, Stuttgart 2022 </w:t>
      </w:r>
    </w:p>
    <w:p w:rsidR="00F87B17" w:rsidRPr="00F87B17" w:rsidRDefault="00F87B17" w:rsidP="00F87B17">
      <w:pPr>
        <w:spacing w:line="360" w:lineRule="auto"/>
        <w:ind w:left="284" w:hanging="284"/>
        <w:jc w:val="both"/>
        <w:rPr>
          <w:rFonts w:ascii="Arial" w:eastAsia="Calibri" w:hAnsi="Arial" w:cs="Arial"/>
          <w:i/>
          <w:sz w:val="24"/>
          <w:szCs w:val="22"/>
          <w:lang w:eastAsia="en-US"/>
        </w:rPr>
      </w:pPr>
    </w:p>
    <w:p w:rsidR="00F87B17" w:rsidRPr="00F87B17" w:rsidRDefault="00F87B17" w:rsidP="00F87B17">
      <w:pPr>
        <w:spacing w:line="360" w:lineRule="auto"/>
        <w:jc w:val="both"/>
        <w:rPr>
          <w:rFonts w:ascii="Arial" w:eastAsia="Calibri" w:hAnsi="Arial" w:cs="Arial"/>
          <w:i/>
          <w:sz w:val="24"/>
          <w:szCs w:val="22"/>
          <w:lang w:eastAsia="en-US"/>
        </w:rPr>
      </w:pPr>
      <w:r w:rsidRPr="00F87B17">
        <w:rPr>
          <w:rFonts w:ascii="Arial" w:eastAsia="Calibri" w:hAnsi="Arial" w:cs="Arial"/>
          <w:i/>
          <w:sz w:val="24"/>
          <w:szCs w:val="22"/>
          <w:lang w:eastAsia="en-US"/>
        </w:rPr>
        <w:t>II) Editionen</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Max Weber, Briefe 1875–1886 (MWG II/1). Hg.v. Gangolf Hübinger, in Zusammenarbeit mit Thomas Gerhards und Uta Hinz, Tübingen 2017</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Max Weber, Briefe 1887–1894 (MWG II/2). Hg.v. Rita Aldenhoff-Hübinger, in Zusammenarbeit mit Thomas Gerhards und Sybille Osswald-Bargende, Tübingen 2017</w:t>
      </w:r>
    </w:p>
    <w:p w:rsidR="00F87B17" w:rsidRPr="00F87B17" w:rsidRDefault="00F87B17" w:rsidP="00F87B17">
      <w:pPr>
        <w:spacing w:line="360" w:lineRule="auto"/>
        <w:ind w:left="284" w:hanging="284"/>
        <w:jc w:val="both"/>
        <w:rPr>
          <w:rFonts w:ascii="Arial" w:eastAsia="Calibri" w:hAnsi="Arial" w:cs="Arial"/>
          <w:i/>
          <w:sz w:val="24"/>
          <w:szCs w:val="22"/>
          <w:lang w:eastAsia="en-US"/>
        </w:rPr>
      </w:pPr>
      <w:r w:rsidRPr="00F87B17">
        <w:rPr>
          <w:rFonts w:ascii="Arial" w:eastAsia="Calibri" w:hAnsi="Arial" w:cs="Arial"/>
          <w:sz w:val="22"/>
          <w:szCs w:val="22"/>
          <w:lang w:eastAsia="en-US"/>
        </w:rPr>
        <w:t>Max Weber, Briefe 1903–1905 (MWG II/4). Hg.v. Gangolf Hübinger und M.Rainer Lepsius, in Zusammenarbeit mit Thomas Gerhards und Sybille Osswald-Bargende, Tübingen 2015</w:t>
      </w:r>
    </w:p>
    <w:p w:rsidR="00F87B17" w:rsidRPr="00F87B17" w:rsidRDefault="00F87B17" w:rsidP="00F87B17">
      <w:pPr>
        <w:spacing w:line="360" w:lineRule="auto"/>
        <w:jc w:val="both"/>
        <w:rPr>
          <w:rFonts w:ascii="Arial" w:eastAsia="Calibri" w:hAnsi="Arial" w:cs="Arial"/>
          <w:i/>
          <w:sz w:val="24"/>
          <w:szCs w:val="22"/>
          <w:lang w:eastAsia="en-US"/>
        </w:rPr>
      </w:pPr>
    </w:p>
    <w:p w:rsidR="00F87B17" w:rsidRPr="00F87B17" w:rsidRDefault="00F87B17" w:rsidP="00F87B17">
      <w:pPr>
        <w:spacing w:line="360" w:lineRule="auto"/>
        <w:jc w:val="both"/>
        <w:rPr>
          <w:rFonts w:ascii="Arial" w:eastAsia="Calibri" w:hAnsi="Arial" w:cs="Arial"/>
          <w:i/>
          <w:sz w:val="24"/>
          <w:szCs w:val="22"/>
          <w:lang w:eastAsia="en-US"/>
        </w:rPr>
      </w:pPr>
      <w:r w:rsidRPr="00F87B17">
        <w:rPr>
          <w:rFonts w:ascii="Arial" w:eastAsia="Calibri" w:hAnsi="Arial" w:cs="Arial"/>
          <w:i/>
          <w:sz w:val="24"/>
          <w:szCs w:val="22"/>
          <w:lang w:eastAsia="en-US"/>
        </w:rPr>
        <w:t>III) Herausgeberschaften</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Gerd Krumeich: Deutschland, Frankreich und der Krieg. Historische Studien zu Politik, Militär und Kultur. Hg. von Susanne Brandt, Thomas Gerhards und Uta Hinz, Essen 2015</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T. Beckers, T. Gerhards, C. Roolf (Hg.): „...Zur Erkenntnis der die Gegenwart prägenden Faktoren der Vergangenheit.“ Projekte zur deutschen und europäischen Geschichte in Düsseldorfer Magister- und Examensarbeiten, hg.v. T. Beckers, T. Gerhards, Ch. Roolf, Neuried b. München 2001</w:t>
      </w:r>
    </w:p>
    <w:p w:rsidR="00F87B17" w:rsidRPr="00F87B17" w:rsidRDefault="00F87B17" w:rsidP="00F87B17">
      <w:pPr>
        <w:spacing w:line="360" w:lineRule="auto"/>
        <w:jc w:val="both"/>
        <w:rPr>
          <w:rFonts w:ascii="Arial" w:eastAsia="Calibri" w:hAnsi="Arial" w:cs="Arial"/>
          <w:sz w:val="24"/>
          <w:szCs w:val="24"/>
          <w:lang w:eastAsia="en-US"/>
        </w:rPr>
      </w:pPr>
    </w:p>
    <w:p w:rsidR="00F87B17" w:rsidRPr="00F87B17" w:rsidRDefault="00F87B17" w:rsidP="00F87B17">
      <w:pPr>
        <w:spacing w:line="360" w:lineRule="auto"/>
        <w:jc w:val="both"/>
        <w:rPr>
          <w:rFonts w:ascii="Arial" w:eastAsia="Calibri" w:hAnsi="Arial" w:cs="Arial"/>
          <w:i/>
          <w:sz w:val="24"/>
          <w:szCs w:val="24"/>
          <w:lang w:eastAsia="en-US"/>
        </w:rPr>
      </w:pPr>
      <w:r w:rsidRPr="00F87B17">
        <w:rPr>
          <w:rFonts w:ascii="Arial" w:eastAsia="Calibri" w:hAnsi="Arial" w:cs="Arial"/>
          <w:sz w:val="24"/>
          <w:szCs w:val="24"/>
          <w:lang w:eastAsia="en-US"/>
        </w:rPr>
        <w:t>IV)</w:t>
      </w:r>
      <w:r w:rsidRPr="00F87B17">
        <w:rPr>
          <w:rFonts w:ascii="Arial" w:eastAsia="Calibri" w:hAnsi="Arial" w:cs="Arial"/>
          <w:i/>
          <w:sz w:val="24"/>
          <w:szCs w:val="24"/>
          <w:lang w:eastAsia="en-US"/>
        </w:rPr>
        <w:t xml:space="preserve"> Aufsätze </w:t>
      </w:r>
    </w:p>
    <w:p w:rsidR="00F87B17" w:rsidRPr="00F87B17" w:rsidRDefault="00F87B17" w:rsidP="0071262D">
      <w:pPr>
        <w:spacing w:line="360" w:lineRule="auto"/>
        <w:ind w:left="284" w:hanging="284"/>
        <w:jc w:val="both"/>
        <w:rPr>
          <w:rFonts w:ascii="Arial" w:eastAsia="Calibri" w:hAnsi="Arial" w:cs="Arial"/>
          <w:sz w:val="22"/>
          <w:szCs w:val="22"/>
          <w:lang w:eastAsia="en-US"/>
        </w:rPr>
      </w:pPr>
      <w:bookmarkStart w:id="0" w:name="_GoBack"/>
      <w:r w:rsidRPr="00F87B17">
        <w:rPr>
          <w:rFonts w:ascii="Arial" w:eastAsia="Calibri" w:hAnsi="Arial" w:cs="Arial"/>
          <w:sz w:val="22"/>
          <w:szCs w:val="22"/>
          <w:lang w:eastAsia="en-US"/>
        </w:rPr>
        <w:t>Der Student Max Weber, in: Ingo Runde</w:t>
      </w:r>
      <w:r w:rsidR="0071262D">
        <w:rPr>
          <w:rFonts w:ascii="Arial" w:eastAsia="Calibri" w:hAnsi="Arial" w:cs="Arial"/>
          <w:sz w:val="22"/>
          <w:szCs w:val="22"/>
          <w:lang w:eastAsia="en-US"/>
        </w:rPr>
        <w:t>, Heike Hawicks</w:t>
      </w:r>
      <w:r w:rsidRPr="00F87B17">
        <w:rPr>
          <w:rFonts w:ascii="Arial" w:eastAsia="Calibri" w:hAnsi="Arial" w:cs="Arial"/>
          <w:sz w:val="22"/>
          <w:szCs w:val="22"/>
          <w:lang w:eastAsia="en-US"/>
        </w:rPr>
        <w:t xml:space="preserve"> (Hg.), </w:t>
      </w:r>
      <w:r w:rsidR="0071262D" w:rsidRPr="0071262D">
        <w:rPr>
          <w:rFonts w:ascii="Arial" w:eastAsia="Calibri" w:hAnsi="Arial" w:cs="Arial"/>
          <w:sz w:val="22"/>
          <w:szCs w:val="22"/>
          <w:lang w:eastAsia="en-US"/>
        </w:rPr>
        <w:t>Max Weber in Heidelberg</w:t>
      </w:r>
      <w:r w:rsidR="0071262D">
        <w:rPr>
          <w:rFonts w:ascii="Arial" w:eastAsia="Calibri" w:hAnsi="Arial" w:cs="Arial"/>
          <w:sz w:val="22"/>
          <w:szCs w:val="22"/>
          <w:lang w:eastAsia="en-US"/>
        </w:rPr>
        <w:t xml:space="preserve">. </w:t>
      </w:r>
      <w:r w:rsidR="0071262D" w:rsidRPr="0071262D">
        <w:rPr>
          <w:rFonts w:ascii="Arial" w:eastAsia="Calibri" w:hAnsi="Arial" w:cs="Arial"/>
          <w:sz w:val="22"/>
          <w:szCs w:val="22"/>
          <w:lang w:eastAsia="en-US"/>
        </w:rPr>
        <w:t>Beiträge zur digitalen Vortragsreihe an der Universität Heidelberg im Sommersemester 2020 anlässlich des 100. Todestages am 14. Juni 2020</w:t>
      </w:r>
      <w:r w:rsidRPr="00F87B17">
        <w:rPr>
          <w:rFonts w:ascii="Arial" w:eastAsia="Calibri" w:hAnsi="Arial" w:cs="Arial"/>
          <w:sz w:val="22"/>
          <w:szCs w:val="22"/>
          <w:lang w:eastAsia="en-US"/>
        </w:rPr>
        <w:t>, Heidelberg 2022</w:t>
      </w:r>
      <w:r w:rsidR="0071262D">
        <w:rPr>
          <w:rFonts w:ascii="Arial" w:eastAsia="Calibri" w:hAnsi="Arial" w:cs="Arial"/>
          <w:sz w:val="22"/>
          <w:szCs w:val="22"/>
          <w:lang w:eastAsia="en-US"/>
        </w:rPr>
        <w:t>, S. 17-53</w:t>
      </w:r>
      <w:bookmarkEnd w:id="0"/>
      <w:r w:rsidRPr="00F87B17">
        <w:rPr>
          <w:rFonts w:ascii="Arial" w:eastAsia="Calibri" w:hAnsi="Arial" w:cs="Arial"/>
          <w:sz w:val="22"/>
          <w:szCs w:val="22"/>
          <w:lang w:eastAsia="en-US"/>
        </w:rPr>
        <w:t xml:space="preserve"> </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Auf der Suche nach dem „besten Staat“. Wissenschaft und Politik im Staatsdenken Heinrich von Treitschkes, in: Walter Pauly, Klaus Ries (Hg.), Staat und Historie. Leitbilder und Fragestellungen deutscher Geschichtsschreibung vom Ende des 19. bis zur Mitte des 20. Jahrhunderts, Baden-Baden 2021, S. 69-99</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1968 als Problem der historischen Forschung und der politischen Kultur in der Bundesrepublik Deutschland, in: Gertrude Cepl-Kaufmann u.a. (Hg.), Die Bonner Republik. Vor und nach „1968“. Geschichte - Diskurs – Forschung, Bielefeld 2020, S. 229-277</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lastRenderedPageBreak/>
        <w:t>Die Universität Düsseldorf und die Studentenbewegung seit den 1960er Jahren, in: Düsseldorfer Jahrbuch 89 (2019), S. 321-350 (zus. mit Uta Hinz)</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Die 68er-Bewegung im Spannungsfeld erinnerungspolitischer Deutungskämpfe und historischer Forschung, in: HPB 67 (2019), S. 147-161</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 xml:space="preserve">Irritationserfahrung, Jugendrevolte, Gewaltentgrenzung – Der historische Ort der 68er-Bewegung im Lichte neuerer Gesamtdarstellungen, in: HPB 66 (2018), S. 483-495 </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Von der europäischen Großmacht zur imperialen Weltmacht. Nationale Geschichtsschreibung und universalhistorische Probleme bei Heinrich von Treitschke und Max Weber, in: Gerhard Wagner, Claudius Härpfner (Hg.), Max Webers vergessene Zeitgenossen. Beiträge zur Genese der Wissenschaftslehre, Wiesbaden 2016, S. 117-143</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Max Weber und die Übernahme des „Archivs für Sozialwissenschaft und Sozialpolitik“ im Jahre 1903/04, in: ZfG 61, H. 4, 2015, S. 317–336</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 nirgends giebt es so wenig Chauvinismus wie bei uns.“ Das Bild der deutschen Nation in Heinrich von Treitschkes Publizistik und Historiographie (1870–1896), in: Beckers/Gerhards/Roolf</w:t>
      </w:r>
    </w:p>
    <w:p w:rsidR="00F87B17" w:rsidRPr="00F87B17" w:rsidRDefault="00F87B17" w:rsidP="00F87B17">
      <w:pPr>
        <w:spacing w:line="360" w:lineRule="auto"/>
        <w:ind w:left="284" w:hanging="284"/>
        <w:jc w:val="both"/>
        <w:rPr>
          <w:rFonts w:ascii="Arial" w:eastAsia="Calibri" w:hAnsi="Arial" w:cs="Arial"/>
          <w:sz w:val="22"/>
          <w:szCs w:val="22"/>
          <w:lang w:eastAsia="en-US"/>
        </w:rPr>
      </w:pPr>
    </w:p>
    <w:p w:rsidR="00F87B17" w:rsidRPr="00F87B17" w:rsidRDefault="00F87B17" w:rsidP="00F87B17">
      <w:pPr>
        <w:spacing w:line="360" w:lineRule="auto"/>
        <w:jc w:val="both"/>
        <w:rPr>
          <w:rFonts w:ascii="Arial" w:eastAsia="Calibri" w:hAnsi="Arial" w:cs="Arial"/>
          <w:i/>
          <w:sz w:val="24"/>
          <w:szCs w:val="22"/>
          <w:lang w:eastAsia="en-US"/>
        </w:rPr>
      </w:pPr>
      <w:r w:rsidRPr="00F87B17">
        <w:rPr>
          <w:rFonts w:ascii="Arial" w:eastAsia="Calibri" w:hAnsi="Arial" w:cs="Arial"/>
          <w:i/>
          <w:sz w:val="24"/>
          <w:szCs w:val="22"/>
          <w:lang w:eastAsia="en-US"/>
        </w:rPr>
        <w:t>V) Lexikonartikel</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 xml:space="preserve">Liman von Sanders, Otto Viktor Karl, in: 1914-1918-online. International Encyclopedia of the First World War, ed. by Ute Daniel, Peter Gatrell, Oliver Janz, Heather Jones, Jennifer Keene, Alan Kramer, and Bill Nasson, issued by Freie Universität Berlin, Berlin 2017-06-21. </w:t>
      </w:r>
      <w:r w:rsidRPr="00F87B17">
        <w:rPr>
          <w:rFonts w:ascii="Arial" w:eastAsia="Calibri" w:hAnsi="Arial" w:cs="Arial"/>
          <w:bCs/>
          <w:sz w:val="22"/>
          <w:szCs w:val="22"/>
          <w:lang w:eastAsia="en-US"/>
        </w:rPr>
        <w:t>DOI</w:t>
      </w:r>
      <w:r w:rsidRPr="00F87B17">
        <w:rPr>
          <w:rFonts w:ascii="Arial" w:eastAsia="Calibri" w:hAnsi="Arial" w:cs="Arial"/>
          <w:sz w:val="22"/>
          <w:szCs w:val="22"/>
          <w:lang w:eastAsia="en-US"/>
        </w:rPr>
        <w:t>: http://dx.doi.org/10.15463/ie1418</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 xml:space="preserve">Treitschke, Heinrich von, in: Neue Deutsche Biographie, Bd. 26, Berlin 2016, S. 391f. </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Mommsen, Wolfgang Justin, in: Neue Deutsche Biographie (online) (in Vorbereitung)</w:t>
      </w:r>
    </w:p>
    <w:p w:rsidR="00F87B17" w:rsidRPr="00F87B17" w:rsidRDefault="00F87B17" w:rsidP="00F87B17">
      <w:pPr>
        <w:spacing w:line="360" w:lineRule="auto"/>
        <w:ind w:left="284" w:hanging="284"/>
        <w:jc w:val="both"/>
        <w:rPr>
          <w:rFonts w:eastAsia="Calibri"/>
          <w:sz w:val="24"/>
          <w:szCs w:val="22"/>
          <w:lang w:eastAsia="en-US"/>
        </w:rPr>
      </w:pPr>
      <w:r w:rsidRPr="00F87B17">
        <w:rPr>
          <w:rFonts w:ascii="Arial" w:eastAsia="Calibri" w:hAnsi="Arial" w:cs="Arial"/>
          <w:sz w:val="22"/>
          <w:szCs w:val="22"/>
          <w:lang w:eastAsia="en-US"/>
        </w:rPr>
        <w:t>G. Hirschfeld, G. Krumeich, I. Renz (Hg.): Enzyklopädie Erster Weltkrieg, Paderborn 2003 (darin: Friedrich von Bernhardi; Moritz von Bissing; Lüttich; Otto Liman von Sanders)</w:t>
      </w:r>
    </w:p>
    <w:p w:rsidR="00F87B17" w:rsidRPr="00F87B17" w:rsidRDefault="00F87B17" w:rsidP="00F87B17">
      <w:pPr>
        <w:spacing w:line="360" w:lineRule="auto"/>
        <w:ind w:left="284" w:hanging="284"/>
        <w:jc w:val="both"/>
        <w:rPr>
          <w:rFonts w:ascii="Arial" w:eastAsia="Calibri" w:hAnsi="Arial" w:cs="Arial"/>
          <w:i/>
          <w:sz w:val="24"/>
          <w:szCs w:val="22"/>
          <w:lang w:eastAsia="en-US"/>
        </w:rPr>
      </w:pPr>
    </w:p>
    <w:p w:rsidR="00F87B17" w:rsidRPr="00F87B17" w:rsidRDefault="00F87B17" w:rsidP="00F87B17">
      <w:pPr>
        <w:spacing w:line="360" w:lineRule="auto"/>
        <w:ind w:left="284" w:hanging="284"/>
        <w:jc w:val="both"/>
        <w:rPr>
          <w:rFonts w:ascii="Arial" w:eastAsia="Calibri" w:hAnsi="Arial" w:cs="Arial"/>
          <w:i/>
          <w:sz w:val="24"/>
          <w:szCs w:val="22"/>
          <w:lang w:eastAsia="en-US"/>
        </w:rPr>
      </w:pPr>
      <w:r w:rsidRPr="00F87B17">
        <w:rPr>
          <w:rFonts w:ascii="Arial" w:eastAsia="Calibri" w:hAnsi="Arial" w:cs="Arial"/>
          <w:i/>
          <w:sz w:val="24"/>
          <w:szCs w:val="22"/>
          <w:lang w:eastAsia="en-US"/>
        </w:rPr>
        <w:t>VI) Rezensionen</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Holger Afflerbach, Ulrich Lappenküper (Hg.),</w:t>
      </w:r>
      <w:r w:rsidRPr="00F87B17">
        <w:rPr>
          <w:rFonts w:ascii="Arial" w:eastAsia="Calibri" w:hAnsi="Arial" w:cs="Arial"/>
          <w:i/>
          <w:sz w:val="22"/>
          <w:szCs w:val="22"/>
          <w:lang w:eastAsia="en-US"/>
        </w:rPr>
        <w:t xml:space="preserve"> </w:t>
      </w:r>
      <w:r w:rsidRPr="00F87B17">
        <w:rPr>
          <w:rFonts w:ascii="Arial" w:eastAsia="Calibri" w:hAnsi="Arial" w:cs="Arial"/>
          <w:sz w:val="22"/>
          <w:szCs w:val="22"/>
          <w:lang w:eastAsia="en-US"/>
        </w:rPr>
        <w:t>1918 – das Ende des Bismarck-Reiches? Verlag Ferdinand Schöningh, Paderborn 2021 (in Vorbereitung für ZfG)</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Michael Frey: Vor Achtundsechzig. Der Kalte Krieg und die Neue Linke in der Bundesrepublik und in den USA. Wallstein Verlag, Göttingen 2020 (in Vorbereitung HPB)</w:t>
      </w:r>
    </w:p>
    <w:p w:rsid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Hans-Heinrich Nolte (Hg.), Nationen und Nationalismus in Geschichtsschreibung und Erinnerungskultur (Zur Kritik der Geschichtsschreibung, Bd. 16), Gleichen – Zürich 2020 (in Vorbereitung für HPB)</w:t>
      </w:r>
    </w:p>
    <w:p w:rsidR="00FF2E0C" w:rsidRPr="00F87B17" w:rsidRDefault="00FF2E0C" w:rsidP="00F87B17">
      <w:pPr>
        <w:spacing w:line="360" w:lineRule="auto"/>
        <w:ind w:left="284" w:hanging="284"/>
        <w:jc w:val="both"/>
        <w:rPr>
          <w:rFonts w:ascii="Arial" w:eastAsia="Calibri" w:hAnsi="Arial" w:cs="Arial"/>
          <w:sz w:val="22"/>
          <w:szCs w:val="22"/>
          <w:lang w:eastAsia="en-US"/>
        </w:rPr>
      </w:pPr>
    </w:p>
    <w:p w:rsidR="00FF2E0C" w:rsidRDefault="00FF2E0C" w:rsidP="00F869CC">
      <w:pPr>
        <w:spacing w:line="360" w:lineRule="auto"/>
        <w:ind w:left="284" w:hanging="284"/>
        <w:jc w:val="both"/>
        <w:rPr>
          <w:rFonts w:ascii="Arial" w:eastAsia="Calibri" w:hAnsi="Arial" w:cs="Arial"/>
          <w:sz w:val="22"/>
          <w:szCs w:val="22"/>
          <w:lang w:eastAsia="en-US"/>
        </w:rPr>
      </w:pPr>
      <w:r w:rsidRPr="00FF2E0C">
        <w:rPr>
          <w:rFonts w:ascii="Arial" w:eastAsia="Calibri" w:hAnsi="Arial" w:cs="Arial"/>
          <w:sz w:val="22"/>
          <w:szCs w:val="22"/>
          <w:lang w:eastAsia="en-US"/>
        </w:rPr>
        <w:t>Torsten Riotte, Kirsten Worms (Hg.)</w:t>
      </w:r>
      <w:r>
        <w:rPr>
          <w:rFonts w:ascii="Arial" w:eastAsia="Calibri" w:hAnsi="Arial" w:cs="Arial"/>
          <w:sz w:val="22"/>
          <w:szCs w:val="22"/>
          <w:lang w:eastAsia="en-US"/>
        </w:rPr>
        <w:t>,</w:t>
      </w:r>
      <w:r w:rsidRPr="00FF2E0C">
        <w:rPr>
          <w:rFonts w:ascii="Arial" w:eastAsia="Calibri" w:hAnsi="Arial" w:cs="Arial"/>
          <w:i/>
          <w:sz w:val="22"/>
          <w:szCs w:val="22"/>
          <w:lang w:eastAsia="en-US"/>
        </w:rPr>
        <w:t xml:space="preserve"> </w:t>
      </w:r>
      <w:r w:rsidRPr="00FF2E0C">
        <w:rPr>
          <w:rFonts w:ascii="Arial" w:eastAsia="Calibri" w:hAnsi="Arial" w:cs="Arial"/>
          <w:sz w:val="22"/>
          <w:szCs w:val="22"/>
          <w:lang w:eastAsia="en-US"/>
        </w:rPr>
        <w:t>Das Kaiserreich vermitteln. Brüche und Kontinuitäten seit 1918</w:t>
      </w:r>
      <w:r w:rsidRPr="00FF2E0C">
        <w:rPr>
          <w:rFonts w:ascii="Arial" w:eastAsia="Calibri" w:hAnsi="Arial" w:cs="Arial"/>
          <w:i/>
          <w:sz w:val="22"/>
          <w:szCs w:val="22"/>
          <w:lang w:eastAsia="en-US"/>
        </w:rPr>
        <w:t>.</w:t>
      </w:r>
      <w:r w:rsidRPr="00FF2E0C">
        <w:rPr>
          <w:rFonts w:ascii="Arial" w:eastAsia="Calibri" w:hAnsi="Arial" w:cs="Arial"/>
          <w:sz w:val="22"/>
          <w:szCs w:val="22"/>
          <w:lang w:eastAsia="en-US"/>
        </w:rPr>
        <w:t xml:space="preserve"> Wallstein Verlag, Göttingen 2022</w:t>
      </w:r>
      <w:r w:rsidRPr="00F87B17">
        <w:rPr>
          <w:rFonts w:ascii="Arial" w:eastAsia="Calibri" w:hAnsi="Arial" w:cs="Arial"/>
          <w:sz w:val="22"/>
          <w:szCs w:val="22"/>
          <w:lang w:eastAsia="en-US"/>
        </w:rPr>
        <w:t xml:space="preserve"> (ZfG 202</w:t>
      </w:r>
      <w:r>
        <w:rPr>
          <w:rFonts w:ascii="Arial" w:eastAsia="Calibri" w:hAnsi="Arial" w:cs="Arial"/>
          <w:sz w:val="22"/>
          <w:szCs w:val="22"/>
          <w:lang w:eastAsia="en-US"/>
        </w:rPr>
        <w:t>2</w:t>
      </w:r>
      <w:r w:rsidRPr="00F87B17">
        <w:rPr>
          <w:rFonts w:ascii="Arial" w:eastAsia="Calibri" w:hAnsi="Arial" w:cs="Arial"/>
          <w:sz w:val="22"/>
          <w:szCs w:val="22"/>
          <w:lang w:eastAsia="en-US"/>
        </w:rPr>
        <w:t xml:space="preserve">, H. </w:t>
      </w:r>
      <w:r>
        <w:rPr>
          <w:rFonts w:ascii="Arial" w:eastAsia="Calibri" w:hAnsi="Arial" w:cs="Arial"/>
          <w:sz w:val="22"/>
          <w:szCs w:val="22"/>
          <w:lang w:eastAsia="en-US"/>
        </w:rPr>
        <w:t>7/8</w:t>
      </w:r>
      <w:r w:rsidRPr="00F87B17">
        <w:rPr>
          <w:rFonts w:ascii="Arial" w:eastAsia="Calibri" w:hAnsi="Arial" w:cs="Arial"/>
          <w:sz w:val="22"/>
          <w:szCs w:val="22"/>
          <w:lang w:eastAsia="en-US"/>
        </w:rPr>
        <w:t xml:space="preserve">, S. </w:t>
      </w:r>
      <w:r>
        <w:rPr>
          <w:rFonts w:ascii="Arial" w:eastAsia="Calibri" w:hAnsi="Arial" w:cs="Arial"/>
          <w:sz w:val="22"/>
          <w:szCs w:val="22"/>
          <w:lang w:eastAsia="en-US"/>
        </w:rPr>
        <w:t>692f.</w:t>
      </w:r>
      <w:r w:rsidRPr="00F87B17">
        <w:rPr>
          <w:rFonts w:ascii="Arial" w:eastAsia="Calibri" w:hAnsi="Arial" w:cs="Arial"/>
          <w:sz w:val="22"/>
          <w:szCs w:val="22"/>
          <w:lang w:eastAsia="en-US"/>
        </w:rPr>
        <w:t>)</w:t>
      </w:r>
    </w:p>
    <w:p w:rsidR="00F869CC" w:rsidRPr="00F869CC" w:rsidRDefault="00F869CC" w:rsidP="00F869CC">
      <w:pPr>
        <w:spacing w:line="360" w:lineRule="auto"/>
        <w:ind w:left="284" w:hanging="284"/>
        <w:jc w:val="both"/>
        <w:rPr>
          <w:rFonts w:ascii="Arial" w:eastAsia="Calibri" w:hAnsi="Arial" w:cs="Arial"/>
          <w:sz w:val="22"/>
          <w:szCs w:val="22"/>
          <w:lang w:eastAsia="en-US"/>
        </w:rPr>
      </w:pPr>
      <w:r w:rsidRPr="00F869CC">
        <w:rPr>
          <w:rFonts w:ascii="Arial" w:eastAsia="Calibri" w:hAnsi="Arial" w:cs="Arial"/>
          <w:sz w:val="22"/>
          <w:szCs w:val="22"/>
          <w:lang w:eastAsia="en-US"/>
        </w:rPr>
        <w:lastRenderedPageBreak/>
        <w:t>Hannah Jonas: Fußball in England und Deutschland von 1961 bis 2000. Vom Verlierer der Wohlstandsgesellschaft zum Vorreiter der Globalisierung. Vandenhoeck &amp; Ruprecht, Göttingen 2019 (HPB 2020, H. 3-4, S. 427)</w:t>
      </w:r>
    </w:p>
    <w:p w:rsidR="00F869CC" w:rsidRPr="00F869CC" w:rsidRDefault="00F869CC" w:rsidP="00F869CC">
      <w:pPr>
        <w:spacing w:line="360" w:lineRule="auto"/>
        <w:ind w:left="284" w:hanging="284"/>
        <w:jc w:val="both"/>
        <w:rPr>
          <w:rFonts w:ascii="Arial" w:eastAsia="Calibri" w:hAnsi="Arial" w:cs="Arial"/>
          <w:sz w:val="22"/>
          <w:szCs w:val="22"/>
          <w:lang w:eastAsia="en-US"/>
        </w:rPr>
      </w:pPr>
      <w:r w:rsidRPr="00F869CC">
        <w:rPr>
          <w:rFonts w:ascii="Arial" w:eastAsia="Calibri" w:hAnsi="Arial" w:cs="Arial"/>
          <w:sz w:val="22"/>
          <w:szCs w:val="22"/>
          <w:lang w:eastAsia="en-US"/>
        </w:rPr>
        <w:t>Rainer Pöppinghege, 18. Januar! Das Deutsche Kaiserreich und seine Geburtstage, Aschendorff Verlag, Münster 2020 (HPB 2020, H. 3-4, S. 392f.)</w:t>
      </w:r>
    </w:p>
    <w:p w:rsidR="00F869CC" w:rsidRPr="00F869CC" w:rsidRDefault="00F869CC" w:rsidP="00F869CC">
      <w:pPr>
        <w:spacing w:line="360" w:lineRule="auto"/>
        <w:ind w:left="284" w:hanging="284"/>
        <w:jc w:val="both"/>
        <w:rPr>
          <w:rFonts w:ascii="Arial" w:eastAsia="Calibri" w:hAnsi="Arial" w:cs="Arial"/>
          <w:sz w:val="22"/>
          <w:szCs w:val="22"/>
          <w:lang w:eastAsia="en-US"/>
        </w:rPr>
      </w:pPr>
      <w:r w:rsidRPr="00F869CC">
        <w:rPr>
          <w:rFonts w:ascii="Arial" w:eastAsia="Calibri" w:hAnsi="Arial" w:cs="Arial"/>
          <w:sz w:val="22"/>
          <w:szCs w:val="22"/>
          <w:lang w:eastAsia="en-US"/>
        </w:rPr>
        <w:t>Peter Schäfer, Kurze Geschichte des Antisemitismus, C.H. Beck, München 2020 (HPB 2020, H. 3-4, S. 530)</w:t>
      </w:r>
    </w:p>
    <w:p w:rsidR="00F87B17" w:rsidRPr="00F87B17" w:rsidRDefault="00F869CC" w:rsidP="00F869CC">
      <w:pPr>
        <w:spacing w:line="360" w:lineRule="auto"/>
        <w:ind w:left="284" w:hanging="284"/>
        <w:jc w:val="both"/>
        <w:rPr>
          <w:rFonts w:ascii="Arial" w:eastAsia="Calibri" w:hAnsi="Arial" w:cs="Arial"/>
          <w:sz w:val="22"/>
          <w:szCs w:val="22"/>
          <w:lang w:eastAsia="en-US"/>
        </w:rPr>
      </w:pPr>
      <w:r w:rsidRPr="00F869CC">
        <w:rPr>
          <w:rFonts w:ascii="Arial" w:eastAsia="Calibri" w:hAnsi="Arial" w:cs="Arial"/>
          <w:sz w:val="22"/>
          <w:szCs w:val="22"/>
          <w:lang w:eastAsia="en-US"/>
        </w:rPr>
        <w:t>Lu Seegers (Hg.), 1968. Gesellschaftliche Nachwirkungen auf dem Lande, Wallstein, Göttingen 2020 (HPB 2020, H. 3-4, S. 416)</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Hedwig Richter,</w:t>
      </w:r>
      <w:r w:rsidRPr="00F87B17">
        <w:rPr>
          <w:rFonts w:ascii="Arial" w:eastAsia="Calibri" w:hAnsi="Arial" w:cs="Arial"/>
          <w:i/>
          <w:sz w:val="22"/>
          <w:szCs w:val="22"/>
          <w:lang w:eastAsia="en-US"/>
        </w:rPr>
        <w:t xml:space="preserve"> </w:t>
      </w:r>
      <w:r w:rsidRPr="00F87B17">
        <w:rPr>
          <w:rFonts w:ascii="Arial" w:eastAsia="Calibri" w:hAnsi="Arial" w:cs="Arial"/>
          <w:sz w:val="22"/>
          <w:szCs w:val="22"/>
          <w:lang w:eastAsia="en-US"/>
        </w:rPr>
        <w:t>Aufbruch in die Moderne. Reform und Massenpolitisierung im Kaiserreich, Suhrkamp Verlag, Berlin 2021 (ZfG 2021, H. 12, S. 1077-1079)</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Birgit Aschmann (Hg.): Durchbruch der Moderne? Neue Perspektiven auf das 19. Jahrhundert. Campus Verlag, Frankfurt/New York 2019 (ZfG 2021, H. 10, S. 876-878)</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Gunnar B. Zimmermann: Bürgerliche Geschichtswelten im Nationalsozialismus. Der Verein für Hamburgische Geschichte zwischen Beharrung und Selbstmobilisierung. Wallstein Verlag, Göttingen 2019 (ZfG 2021, H. 5, S. 483f.)</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Nils Freytag: Das Wilhelminische Kaiserreich 1890-1914. utb, Paderborn u.a. 2018 (HPB 2020. H. 2, S. 200)</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Hannah Arendt: The Modern Challange to Tradition: Fragmente eines Buchs. Hg. von Barbara Hahn und James McFarland, unter Mitarbeit von Ingo Kieslich und Ingeborg Nordmann (Hannah Arendt, Kritische Gesamtausgabe, Bd. 6), Göttingen 2018;</w:t>
      </w:r>
      <w:r w:rsidRPr="00F87B17">
        <w:t xml:space="preserve"> </w:t>
      </w:r>
      <w:r w:rsidRPr="00F87B17">
        <w:rPr>
          <w:rFonts w:ascii="Arial" w:eastAsia="Calibri" w:hAnsi="Arial" w:cs="Arial"/>
          <w:sz w:val="22"/>
          <w:szCs w:val="22"/>
          <w:lang w:eastAsia="en-US"/>
        </w:rPr>
        <w:t>Sechs Essays. Die verborgene Tradition. Hg. von Barbara Hahn. Unter Mitarbeit von Barbara Breysach und Christian Pischel (Hannah Arendt, Kritische Gesamtausgabe, Bd. 3), Wallstein Verlag, Göttingen 2019, 503 S. (ZfG 2020, H. 5, S. 484-486)</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Matthias Berg u.a.: Die versammelte Zunft. Historikerverband und Historikertage in Deutschland 1893-2000, Göttingen 2018 (ZfG 2020, H. 1, S. 66-68)</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Jan-Hendrik Schulz: Unbeugsam hinter Gittern. Die Hungerstreiks der RAF nach dem Deutschen Herbst. 590 S., Campus, Frankfurt/M – New York 2019 (HPB 2019. H. 4, S. 506)</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Philipp Stelzel: History After Hitler. A Transatlantic Enterprise, Philadelphia 2019 (ZfG 2019, H. 10, S. 860-862)</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Philipp Gassert: Bewegte Gesellschaft. Deutsche Protestgeschichte seit 1945, Kohlhammer, Stuttgart 2018 (ZfG 2019, H. 7/8, S. 686-688)</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Hinnerk Bruhns: Max Weber und der Erste Weltkrieg. Mohr Siebeck, Tübingen 2017, 221 S.</w:t>
      </w:r>
      <w:r w:rsidRPr="00F87B17">
        <w:t xml:space="preserve"> </w:t>
      </w:r>
      <w:r w:rsidRPr="00F87B17">
        <w:rPr>
          <w:rFonts w:ascii="Arial" w:eastAsia="Calibri" w:hAnsi="Arial" w:cs="Arial"/>
          <w:sz w:val="22"/>
          <w:szCs w:val="22"/>
          <w:lang w:eastAsia="en-US"/>
        </w:rPr>
        <w:t>(ZfG 2018, H. 10, S. 873-875)</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Franziska Meifort: Ralf Dahrendorf. Eine Biographie. 477 S., C.H. Beck, München 2017 (HPB 2018, H. 3, S. 361)</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lastRenderedPageBreak/>
        <w:t>Sammelbesprechung: Nikolai Wehrs: Protest der Professoren. Der „Bund Freiheit der Wissenschaft“ in den 1970er Jahren. (Geschichte der Gegenwart, Bd. 9). Wallstein Verlag, Göttingen 2014, 539 S.; Svea Koischwitz: Der Bund Freiheit der Wissenschaft in den Jahren 1970–1976. Ein Interessenverband zwischen Studentenbewegung und Hochschulreform (Kölner Historische Abhandlungen, Bd. 52). Böhlau, Köln u.a. 2017, 541 S. (ZfG 2018, H. 9, S. 788-790)</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Michael Peters: Professor Fritz Fischer (1908-199). Lebensgeschichte und Kriegszielthesen. Ein Resümee zum 110ten Geburtstag des Historikers und zur „Fischer-Kontroverse“ vor fünfzig Jahren. Verlag Traugott Bautz, Nordhausen 2018, 31 S. (ZfG 2018, H. 7/8, S. 659f.)</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Moritz Mälzer: Auf der Suche nach der neuen Universität. Die Entstehung der „Reformuniversitäten“ Konstanz und Bielefeld in den 1960er Jahren. (Bürgertum Neue Folge. Studien zur Zivilgesellschaft, Bd. 13). 512 S., Vandenhoeck &amp; Ruprecht, Göttingen 2016 (HPB 2018, H. 2, S. 293)</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Luise Schorn-Schütte, Mircea Ogrin (Hg.): „Über das eigentliche Arbeitsgebiet der Geschichte.“ Der Briefwechsel zwischen Karl Lamprecht und Ernst Bernheim sowie zwischen Karl Lamprecht und Henri Pirenne, 1878–1915. Bearb.v. Maria Elisabeth Grüter, Charlotte Beißwingert und Geneviève Warland (Beihefte zum Archiv für Kulturgeschichte, H. 46). Böhlau Verlag, Köln u.a. 2017, 349 S.</w:t>
      </w:r>
      <w:r w:rsidRPr="00F87B17">
        <w:t xml:space="preserve"> </w:t>
      </w:r>
      <w:r w:rsidRPr="00F87B17">
        <w:rPr>
          <w:rFonts w:ascii="Arial" w:eastAsia="Calibri" w:hAnsi="Arial" w:cs="Arial"/>
          <w:sz w:val="22"/>
          <w:szCs w:val="22"/>
          <w:lang w:eastAsia="en-US"/>
        </w:rPr>
        <w:t>(ZfG 2018, H. 4, S. 369-371)</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Sammelbesprechung: Martin Furtwängler (Bearb.): Die Protokolle der Regierung der Republik Baden. Zweiter Band: Das Staatsministerium April 1919 – November 1921. 2 Teilbände (Kabinettsprotokolle von Baden und Württemberg 1918-1933, I. Teil, 2. Bd.). CXXIX + 968 S., Kohlhammer, Stuttgart 2016; Ansbert Baumann (Bearb.): Die Protokolle der Regierung des Volksstaates Württemberg. Zweiter Band: Das Kabinett Hieber und das Kabinett Rau Juli 1920 – Mai 1924. (Kabinettsprotokolle von Baden und Württemberg 1918-1933, II. Teil, 2. Bd.). LXXXVII + 1072 S., Kohlhammer, Stuttgart 2016 (HPB 2018, H. 1, S. 53-55)</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Esther Abel: Kunstraub – Ostforschung – Hochschulkarriere. Der Osteuropahistoriker Peter Scheibert. Ferdinand Schöningh, Paderborn 2016, 285 S. (ZfG 2017, H. 10, S. 893-895)</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Jürgen Elvert (Hg.): Geschichte jenseits der Universität. Netzwerke und Organisationen in der frühen Bundesrepublik. (Historische Mitteilungen – Beihefte, Bd. 94). Franz Steiner Verlag, Stuttgart 2016, 276 S.</w:t>
      </w:r>
      <w:r w:rsidRPr="00F87B17">
        <w:t xml:space="preserve"> </w:t>
      </w:r>
      <w:r w:rsidRPr="00F87B17">
        <w:rPr>
          <w:rFonts w:ascii="Arial" w:eastAsia="Calibri" w:hAnsi="Arial" w:cs="Arial"/>
          <w:sz w:val="22"/>
          <w:szCs w:val="22"/>
          <w:lang w:eastAsia="en-US"/>
        </w:rPr>
        <w:t>(ZfG 2017, H. 9, S. 808-810)</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Boris Barth: Europa nach dem Großen Krieg. Die Krise der Demokratie in der Zwischenkriegszeit 1918–1939. Campus Verlag, Frankfurt a.M. 2016, 361 S.</w:t>
      </w:r>
      <w:r w:rsidRPr="00F87B17">
        <w:t xml:space="preserve"> </w:t>
      </w:r>
      <w:r w:rsidRPr="00F87B17">
        <w:rPr>
          <w:rFonts w:ascii="Arial" w:eastAsia="Calibri" w:hAnsi="Arial" w:cs="Arial"/>
          <w:sz w:val="22"/>
          <w:szCs w:val="22"/>
          <w:lang w:eastAsia="en-US"/>
        </w:rPr>
        <w:t>(ZfG 2017, H. 6, S. 583-585)</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Tilmann Lahme, Holger Pils, Kerstin Klein (Hg.): Die Briefe der Manns. Ein Familienporträt. 720 S., S. Fischer, Frankfurt a.M. 2016 (HPB 2017, H. 1, S. 34f.)</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lastRenderedPageBreak/>
        <w:t>Walter Schmidt (Hg.): Akteure eines Umbruchs. Männer und Frauen der Revolution von 1848/49 (Bd. 5). 724 S., FIDES, Berlin 2016 (HPB 2017, H. 1, S. 18f.)</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Gerrit Dworok: „Historikerstreit“. Ursprünge und Deutung eines bundesrepublikanischen Konflikts. Böhlau Verlag, Köln – Weimar – Wien 2015, 528 S. (ZfG 2017, H. 5, S. 497-499)</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Gangolf Hübinger: Engagierte Beobachter der Moderne. Von Max Weber bis Ralf Dahrendorf. Wallstein, Göttingen 2016, 277 S. (HPB 2016, H. 4, S. 346f.)</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Das Jahrhundert der Manns (Sammelbesprechung: Andres Blödorn, Friedhelm Marx (Hg.): Thomas Mann Handbuch. Leben – Werk – Wirkung. 425 S., J.B. Metzler, Stuttgart 2015; Manfred Flügge: Das Jahrhundert der Manns. 416 S., Aufbau Verlag, Berlin 2015; Klaus W. Jonas: Drei Generationen Familie Thomas Mann. Aus dem Briefwechsel eines Bibliographen. Hg. v. Dirk Heißerer. 395 S., Königshausen &amp; Neumann, Würzburg 2014; Helmut Koopmann: Thomas Mann – Heinrich Mann. Die ungleichen Brüder. 531 S., dtv, München 2015; Tilmann Lahme: Die Manns. Geschichte einer Familie. 478 S., S. Fischer, Frankfurt a.M. 2015) (HPB 2016, H. 5, S. 449-451)</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Marc von Knorring: Die Wilhelminische Zeit in der Diskussion. Autobiographische Epochencharakterisierungen 1918–1939 und ihr zeitgenössischer Kontext. (Historische Mitteilungen, Beihefte 88). 360 S., Franz Steiner Verlag, Stuttgart 2014 (HPB 2016, H. 5, S. 494)</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Detlev Mares, Dieter Schott (Hg.): Das Jahr 1913. Aufbrüche und Krisenwahrnehmungen am Vorabend des Ersten Weltkriegs. 280 S., transcript, Bielefeld 2014 (HPB 2016, H. 4, S. 494f.)</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Gangolf Hübinger (Hg.), Europäische Wissenschaftskulturen und politische Ordnungen in der Moderne (1890-1970). Oldenbourg, München 2014, 316 S. (http://hsozkult.geschichte.hu-berlin.de/index.asp?id=22314&amp;view=pdf&amp;pn=rezensionen&amp;type=rezbuecher)</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Volker Weiß: Moses Hess. Rheinischer Jude, Revolutionär, früher Zionist. Mit einem Nachwort von Jochen Ott. 239 S., Greven, Köln 2015 (HPB 2016, H. 3, S. 239)</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Wolfgang Neugebauer: Otto Hintze. Denkräume und Sozialwelten eines Historikers in der Globalisierung 1861–1940. Ferdinand Schöningh, Paderborn 2015, 661 S. (ZfG 2016, H. 7/8, S. 718f.)</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Manfred Görtemaker (Hg.): Otto Braun. Ein preußischer Demokrat. 208 S., be.bra Verlag, Berlin 2014 (HPB 2016, H. 2, S. 154f.)</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Hans Peter Müller: Carl Meyer (1819–1889) – Ein württembergischer Gegner Bismarcks (Veröffentlichungen der Kommission für Geschichtliche Landeskunde in Baden-Württemberg, Reihe B, Forschungen, 200. Band). 145 S., W. Kohlhammer, Stuttgart 2014 (HPB 2016, H. 2, S. 124f.)</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lastRenderedPageBreak/>
        <w:t>Udo Wengst: Theodor Eschenburg. Biographie einer politischen Leitfigur 1904–1999. De Gruyter – Oldenbourg, Berlin – München – Boston 2015, 279 S. (ZfG 64, 2016, H. 3, S. 292-294)</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Sammelbesprechung: Benjamin Hasselhorn: Johannes Haller. Eine politische Gelehrtenbiographie. Mit einer Edition des unveröffentlichten Teils der Lebenserinnerungen Johannes Hallers. (Schriftenreihe der Historischen Kommission bei der Bayerischen Akademie der Wissenschaften, Bd. 93). Vandenhoeck &amp; Ruprecht, Göttingen 2015, 480 S.;</w:t>
      </w:r>
      <w:r w:rsidRPr="00F87B17">
        <w:t xml:space="preserve"> </w:t>
      </w:r>
      <w:r w:rsidRPr="00F87B17">
        <w:rPr>
          <w:rFonts w:ascii="Arial" w:eastAsia="Calibri" w:hAnsi="Arial" w:cs="Arial"/>
          <w:sz w:val="22"/>
          <w:szCs w:val="22"/>
          <w:lang w:eastAsia="en-US"/>
        </w:rPr>
        <w:t>Benjamin Hasselhorn, Christian Kleinert (Bearb.): Johannes Haller (1865–1947). Briefe eines Historikers. (Deutsche Geschichtsquellen des 19. und 20. Jahrhunderts, Bd. 71). Vandenhoeck &amp; Ruprecht, Göttingen 2014, 679 S. (ZfG 2016, H. 2, S. 178-180)</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Martin Furtwängler (Bearb.): Die Lebenserinnerungen des ersten badischen Staatspräsidenten Anton Geiß (1858–1944). (Veröffentlichungen der Kommission für Geschichtliche Landeskunde in Baden-Württemberg, Reihe A, Quellen, 58. Band). XXVII + 131 S., Kohlhammer, Stuttgart 2014 (HPB 2015, H. 5, S. 488f.)</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Anja Werner: The Transatlantic World of Higher Education. Americans at German Universities, 1776–1914. (European Studies in American History, Vol. 4). 329 S., Berghahn Books, New York – Oxford 2013 (HPB 2015, H. 3, S. 314f.)</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Georg G. Iggers, Q. Edward Wang, Supriya Mukherjee: Geschichtskulturen. Weltgeschichte der Historiografie von 1750 bis heute. 416 S., Vandenhoeck &amp; Ruprecht, Göttingen 2013 (HPB 2015, H. 3, S. 232f.)</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Matthias Berg: Karl Alexander von Müller. Historiker für den Nationalsozialismus. (Schriftenreihe der Historischen Kommission bei der Bayerischen Akademie der Wissenschaften, Bd. 88). Vandenhoeck &amp; Ruprecht, Göttingen 2014, 572 S. (ZfG 2015, H. 1, S. 94-96)</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Markus Pöhlmann, Harald Potempa, Thomas Vogel (Hg.): Der Erste Weltkrieg 1914-1918. Der deutsche Aufmarsch in ein kriegerisches Jahrhundert (Hg. im Auftrag des Zentrums für Militärgeschichte und Sozialwissenschaften der Bundeswehr). 384 S., Bucher, München 2014 (HPB 2014, H. 5, S. 532)</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Wolfram Pyta (Hg.): Geschichte des Fußballs in Deutschland und Europa seit 1954. 184 S., Kohlhammer, Stuttgart 2013 (HPB 2014, H. 6, S. 696)</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Kai Drewes: Jüdischer Adel. Nobilitierungen von Juden im Europa des 19. Jahrhunderts. 467 S., Campus, Frankfurt – New York 2013 (NPL 58, 2013, S. 285f.)</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Lawrence A. Scaff: Max Weber in Amerika. Aus dem Englischen von Axel Walter. Mit einem Geleitwort von Hans-Peter Müller. Duncker &amp; Humblot, Berlin 2013, 375 S. (ZfG 2014, H. 5, S. 467-469)</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lastRenderedPageBreak/>
        <w:t>Heinrich Dreidoppel, Max Herresthal, Gerd Krumeich (Hg.): MARS. Kriegsnachrichten aus der Familie. Rundbriefe der rheinischen Großfamilie Trimborn 1914–1918. 757 S., Klartext Verlag, Essen 2013 (HPB 2014, H. 5, S. 472f.)</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Yehuda Bauer: Der Tod des Schtetls. 364 S., Jüdischer Verlag im Suhrkamp Verlag, Frankfurt/M. 2013 (HPB 2014, H. 5, S. 547)</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Dieter Langewiesche: Die Monarchie im Jahrhundert Europas. Selbstbehauptung durch Wandel im 19. Jahrhundert. (Schriften der Philosophisch-Historischen Klasse der Heidelberger Akademie der Wissenschaften, Bd. 50). 52 S., Universitätsverlag Winter Heidelberg, Heidelberg 2013 (HPB 2013, H. 4, S. 375f.)</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Christoph Nonn: Theodor Schieder. Ein bürgerlicher Historiker im 20. Jahrhundert. (Schriften des Bundesarchivs, Bd. 73). Droste Verlag, Düsseldorf 2013 (ZfG 2014, H. 1, S. 84-86)</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Julia Eichenberg: Kämpfen für Frieden und Fürsorge. Polnische Veteranen des Ersten Weltkriegs und ihre internationalen Kontakte, 1918-1939. (Studien zur Internationalen Geschichte, Bd. 27). 259 S., Oldenbourg, München 2011 (HPB 2013, H. 6, S. 634)</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Sammelbesprechung: Martin Furtwängler (Bearb.): Die Protokolle der Regierung der Republik Baden. Erster Band: Die provisorische Regierung November 1918–März 1919. (Kabinettsprotokolle von Baden und Württemberg 1918-1933, I. Teil, 1. Bd.). XCIX + 357 S., Kohlhammer, Stuttgart 2012; Ansbert Baumann (Bearb.): Die Protokolle der Regierung des Volksstaates Württemberg. Erster Band: Die provisorische Regierung und das Kabinett Blos November 1918–Juni 1920. (Kabinettsprotokolle von Baden und Württemberg 1918-1933, II. Teil, 1. Bd.). CXVIII + 690 S., Kohlhammer, Stuttgart 2013 (HPB 2013, H. 6, S. 594-596)</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Sven Haase: Berliner Universität und Nationalgedanke 1800–1848. Genese einer politischen Idee. (Pallas Athene. Beiträge zur Universitäts- und Wissenschaftsgeschichte, Bd. 42). 406 S., Steiner, Stuttgart 2012 (HPB 2013, H. 3, S. 274)</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Frank Fehlberg: Protestantismus und Nationaler Sozialismus. Liberale Theologie und politisches Denken um Friedrich Naumann. (Archiv der sozialen Demokratie der Friedrich-Ebert-Stiftung. Reihe: Politik- und Gesellschaftsgeschichte, Bd. 93). 519 S., Dietz, Bonn 2012 (HPB 2013, H. 5, S. 545)</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Christoph Jahr: Antisemitismus vor Gericht. Debatten über die juristische Ahndung judenfeindlicher Agitation in Deutschland (1879–1960). (Wissenschaftliche Reihe des Fritz Bauer Instituts, Bd. 16). Campus Verlag, Frankfurt am Main 2011 (ZfG 2013, H. 4, S. 366-368)</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Bärbel Meurer: Marianne Weber. Leben und Werk. 688 S., Mohr Siebeck, Tübingen 2010 (NPL 57, 2012, S. 144f.)</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lastRenderedPageBreak/>
        <w:t>Werner Bergmann, Ulrich Sieg (Hg.): Antisemitische Geschichtsbilder. 264 S., Klartext Verlag, Essen 2009 (Antisemitismus: Geschichte und Strukturen, Bd. 5) (NPL 54, 2009, S. 470f.)</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Ulrich Sieg: Deutschlands Prophet. Paul de Lagarde und die Ursprünge des modernen Antisemitismus. 415 S., Carl Hanser Verlag, Hamburg 2007 (NPL 53, 2008, S. 480f.)</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Hartmut Kaelble: Sozialgeschichte Europas. 1945 bis zur Gegenwart.− München: C.H. Beck 2007, 437 Seiten Deutschlandfunk, 6.8. 2007</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Franz X. Eder (Hrsg.): Historische Diskursanalysen. Genealogie, Theorie, Anwendungen. 338 S., VS Verlag für Sozialwissenschaften, Wiesbaden 2006 (NPL 52, 2007, S. 161f.)</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Gerhard A. Ritter: Der Preis der deutschen Einheit. Die Wiedervereinigung und die Krise des Sozialstaats, München (C.H. Beck) 2006, 541 S. Deutschlandfunk, 5.2. 2007</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Joachim Radkau: Max Weber. Die Leidenschaft des Denkens, München – Wien (Hanser) 2005 Deutschlandfunk, 10.10. 2005</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Mario Keßler: Arthur Rosenberg. Ein Historiker im Zeitalter der Katastrophen (1889-1943). 335 S., Böhlau, Köln – Weimar – Wien 2003 (Zeithistorische Studien, Bd. 24) (NPL 49, 2004, S. 283)</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Der „Berliner Antisemitismusstreit“ 1879-1881. Kommentierte Quellenedition. Im Auftrag des Zentrums für Antisemitismusforschung bearbeitet von Karsten Krieger. 2 Bände. 903 S., K.G. Saur, München 2003 NPL</w:t>
      </w:r>
    </w:p>
    <w:p w:rsidR="00F87B17" w:rsidRPr="00F87B17" w:rsidRDefault="00F87B17" w:rsidP="00F87B17">
      <w:pPr>
        <w:spacing w:line="360" w:lineRule="auto"/>
        <w:ind w:left="284" w:hanging="284"/>
        <w:jc w:val="both"/>
        <w:rPr>
          <w:rFonts w:ascii="Arial" w:eastAsia="Calibri" w:hAnsi="Arial" w:cs="Arial"/>
          <w:sz w:val="22"/>
          <w:szCs w:val="22"/>
          <w:lang w:eastAsia="en-US"/>
        </w:rPr>
      </w:pPr>
      <w:r w:rsidRPr="00F87B17">
        <w:rPr>
          <w:rFonts w:ascii="Arial" w:eastAsia="Calibri" w:hAnsi="Arial" w:cs="Arial"/>
          <w:sz w:val="22"/>
          <w:szCs w:val="22"/>
          <w:lang w:eastAsia="en-US"/>
        </w:rPr>
        <w:t>Philipp Sarasin: Geschichtswissenschaft und Diskursanalyse. 258 S.,Suhrkamp Taschenbuch Wissenschaft, Frankfurt a. M. 2003 (NPL 48, 2003, S. 476)</w:t>
      </w:r>
    </w:p>
    <w:p w:rsidR="00947E98" w:rsidRDefault="00F87B17" w:rsidP="00F87B17">
      <w:pPr>
        <w:spacing w:line="360" w:lineRule="auto"/>
        <w:ind w:left="284" w:hanging="284"/>
        <w:jc w:val="both"/>
      </w:pPr>
      <w:r w:rsidRPr="00F87B17">
        <w:rPr>
          <w:rFonts w:ascii="Arial" w:eastAsia="Calibri" w:hAnsi="Arial" w:cs="Arial"/>
          <w:sz w:val="22"/>
          <w:szCs w:val="22"/>
          <w:lang w:eastAsia="en-US"/>
        </w:rPr>
        <w:t>Rainer Kipper: Der Germanenmythos im Deutschen Kaiserreich. Formen und Funktionen historischer Selbstthematisierung. 394 S., Vandenhoeck &amp; Ruprecht, Göttingen 2002 (Formen der Erinnerung, Bd. 11) (NPL 48, 2003, S. 335f.)</w:t>
      </w:r>
    </w:p>
    <w:sectPr w:rsidR="00947E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D0B"/>
    <w:rsid w:val="000A3269"/>
    <w:rsid w:val="001544CF"/>
    <w:rsid w:val="001F3011"/>
    <w:rsid w:val="001F4AE9"/>
    <w:rsid w:val="002A6318"/>
    <w:rsid w:val="002F5842"/>
    <w:rsid w:val="003B1A4D"/>
    <w:rsid w:val="003E4E31"/>
    <w:rsid w:val="0052068A"/>
    <w:rsid w:val="005521AB"/>
    <w:rsid w:val="005559D3"/>
    <w:rsid w:val="00594F61"/>
    <w:rsid w:val="005B62BA"/>
    <w:rsid w:val="005C3B25"/>
    <w:rsid w:val="006458C9"/>
    <w:rsid w:val="00646CC0"/>
    <w:rsid w:val="00660205"/>
    <w:rsid w:val="006B04C8"/>
    <w:rsid w:val="006C1450"/>
    <w:rsid w:val="0071262D"/>
    <w:rsid w:val="007B1AC3"/>
    <w:rsid w:val="007D17AF"/>
    <w:rsid w:val="008D56A7"/>
    <w:rsid w:val="00947E98"/>
    <w:rsid w:val="009730D4"/>
    <w:rsid w:val="009838FA"/>
    <w:rsid w:val="009D0FE7"/>
    <w:rsid w:val="00A23576"/>
    <w:rsid w:val="00A30B37"/>
    <w:rsid w:val="00A35A41"/>
    <w:rsid w:val="00A84D6C"/>
    <w:rsid w:val="00AE23D4"/>
    <w:rsid w:val="00B30962"/>
    <w:rsid w:val="00B331DB"/>
    <w:rsid w:val="00B5462C"/>
    <w:rsid w:val="00BE0C61"/>
    <w:rsid w:val="00C2681F"/>
    <w:rsid w:val="00C91753"/>
    <w:rsid w:val="00CA260F"/>
    <w:rsid w:val="00CB2473"/>
    <w:rsid w:val="00D322EC"/>
    <w:rsid w:val="00D66D0B"/>
    <w:rsid w:val="00D77EE5"/>
    <w:rsid w:val="00E20B35"/>
    <w:rsid w:val="00E5088E"/>
    <w:rsid w:val="00ED48F6"/>
    <w:rsid w:val="00EF7EDD"/>
    <w:rsid w:val="00F10EB4"/>
    <w:rsid w:val="00F858B7"/>
    <w:rsid w:val="00F869CC"/>
    <w:rsid w:val="00F87B17"/>
    <w:rsid w:val="00FF2C32"/>
    <w:rsid w:val="00FF2E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66D0B"/>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C14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66D0B"/>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C14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2606</Words>
  <Characters>16423</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 Gerhards</cp:lastModifiedBy>
  <cp:revision>51</cp:revision>
  <dcterms:created xsi:type="dcterms:W3CDTF">2016-03-16T16:10:00Z</dcterms:created>
  <dcterms:modified xsi:type="dcterms:W3CDTF">2022-09-18T00:31:00Z</dcterms:modified>
</cp:coreProperties>
</file>